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AE05F5">
      <w:bookmarkStart w:id="0" w:name="_GoBack"/>
      <w:bookmarkEnd w:id="0"/>
      <w:r>
        <w:t>“The Pardoner’s Tale”</w:t>
      </w:r>
    </w:p>
    <w:p w:rsidR="00AE05F5" w:rsidRDefault="00AE05F5"/>
    <w:p w:rsidR="00AE05F5" w:rsidRDefault="00AE05F5" w:rsidP="00AE05F5">
      <w:pPr>
        <w:pStyle w:val="ListParagraph"/>
        <w:numPr>
          <w:ilvl w:val="0"/>
          <w:numId w:val="1"/>
        </w:numPr>
      </w:pPr>
      <w:r>
        <w:t>Why would he admit that he preaches to make a profit?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Identify the “deadly” sins he is guilty of committing.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(lines 45-55) What do we learn about the rioters?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Why do they want to kill death?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Who is the old man? What purpose might he serve?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What personification of death does he offer? What does this image suggest?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(line 141) Why does the old man add, “if you should live till them”?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(line 166) What is ironic about this line?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What does the capital F in fortune tell you? What have the men forgotten?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(lines 185-234) Characterize each rioter at this point. What do they have in common with the Pardoner?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What is ironic about line 254?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What is meant by “the devil’s clay”?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Argue for or against his conclusion that the rioters “received their due”.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Respond to the request the Pardoner makes of the other pilgrims after he finishes his tale (lines 291-312). How does this justify Chaucer’s characterization of him in the Prologue?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The tale is a satire. Explain.</w:t>
      </w:r>
    </w:p>
    <w:p w:rsidR="00AE05F5" w:rsidRDefault="00AE05F5" w:rsidP="00AE05F5">
      <w:pPr>
        <w:pStyle w:val="ListParagraph"/>
        <w:numPr>
          <w:ilvl w:val="0"/>
          <w:numId w:val="1"/>
        </w:numPr>
      </w:pPr>
      <w:r>
        <w:t>What moral do you think Chaucer wants drawn from this tale?</w:t>
      </w:r>
    </w:p>
    <w:p w:rsidR="00AE05F5" w:rsidRDefault="00AE05F5" w:rsidP="00AE05F5">
      <w:pPr>
        <w:pStyle w:val="ListParagraph"/>
      </w:pPr>
    </w:p>
    <w:sectPr w:rsidR="00AE05F5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221"/>
    <w:multiLevelType w:val="hybridMultilevel"/>
    <w:tmpl w:val="D50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5"/>
    <w:rsid w:val="001C591C"/>
    <w:rsid w:val="00690E0F"/>
    <w:rsid w:val="00A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2014-10-02T18:39:00Z</dcterms:created>
  <dcterms:modified xsi:type="dcterms:W3CDTF">2014-10-02T18:39:00Z</dcterms:modified>
</cp:coreProperties>
</file>